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100" w:before="10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sz w:val="30"/>
          <w:szCs w:val="30"/>
          <w:rtl w:val="0"/>
        </w:rPr>
        <w:t xml:space="preserve">Grievance Policy</w:t>
      </w:r>
      <w:r w:rsidDel="00000000" w:rsidR="00000000" w:rsidRPr="00000000">
        <w:rPr>
          <w:rtl w:val="0"/>
        </w:rPr>
      </w:r>
    </w:p>
    <w:p w:rsidR="00000000" w:rsidDel="00000000" w:rsidP="00000000" w:rsidRDefault="00000000" w:rsidRPr="00000000" w14:paraId="00000003">
      <w:pPr>
        <w:spacing w:after="100" w:before="10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High Point Academy believes that, as adults, we must model healthy and respectful communication for our students. The school is committed to promoting healthy communication among students, parents, teachers, and administrators, and encourages school community members to express any concerns directly with the individual involved so that the school’s focus remains on student learning.  In the interest of promoting the efficient resolution of grievances, the procedures below set forth the process for resolving conflicts and settling differences.  This process strives to support prompt and equitable resolution of disagreements at the lowest possible faculty or administrative level. </w:t>
      </w:r>
    </w:p>
    <w:p w:rsidR="00000000" w:rsidDel="00000000" w:rsidP="00000000" w:rsidRDefault="00000000" w:rsidRPr="00000000" w14:paraId="00000004">
      <w:pPr>
        <w:numPr>
          <w:ilvl w:val="0"/>
          <w:numId w:val="2"/>
        </w:numPr>
        <w:spacing w:after="340" w:before="340" w:line="240" w:lineRule="auto"/>
        <w:ind w:left="720" w:hanging="360"/>
        <w:rPr/>
      </w:pPr>
      <w:r w:rsidDel="00000000" w:rsidR="00000000" w:rsidRPr="00000000">
        <w:rPr>
          <w:rFonts w:ascii="Century Gothic" w:cs="Century Gothic" w:eastAsia="Century Gothic" w:hAnsi="Century Gothic"/>
          <w:b w:val="1"/>
          <w:rtl w:val="0"/>
        </w:rPr>
        <w:t xml:space="preserve">Address Issue with Those Directly Involved.</w:t>
      </w:r>
      <w:r w:rsidDel="00000000" w:rsidR="00000000" w:rsidRPr="00000000">
        <w:rPr>
          <w:rFonts w:ascii="Century Gothic" w:cs="Century Gothic" w:eastAsia="Century Gothic" w:hAnsi="Century Gothic"/>
          <w:rtl w:val="0"/>
        </w:rPr>
        <w:t xml:space="preserve">  The grievant must first bring the concern to the attention of the individual(s) directly involved.  A meeting should be scheduled where the concerns can be expressed in private and in an environment conducive to resolution.  If the grievant brings the concern directly to the attention of the School Leader without first attempting to address the issue at the lowest level, the School Leader may re-direct the grievant to the appropriate level in the process. </w:t>
      </w:r>
    </w:p>
    <w:p w:rsidR="00000000" w:rsidDel="00000000" w:rsidP="00000000" w:rsidRDefault="00000000" w:rsidRPr="00000000" w14:paraId="00000005">
      <w:pPr>
        <w:spacing w:after="100" w:before="100" w:line="24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grievant is not required to address the issue with the person directly involved if the grievant is alleging harassment or discrimination. </w:t>
      </w:r>
    </w:p>
    <w:p w:rsidR="00000000" w:rsidDel="00000000" w:rsidP="00000000" w:rsidRDefault="00000000" w:rsidRPr="00000000" w14:paraId="00000006">
      <w:pPr>
        <w:numPr>
          <w:ilvl w:val="0"/>
          <w:numId w:val="1"/>
        </w:numPr>
        <w:spacing w:after="0" w:afterAutospacing="0" w:before="340"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case of grievances relating to allegations of harassment or discrimination against students, please see the school’s Harassment and Discrimination Investigation Procedures for Students Policy available </w:t>
      </w:r>
      <w:hyperlink r:id="rId6">
        <w:r w:rsidDel="00000000" w:rsidR="00000000" w:rsidRPr="00000000">
          <w:rPr>
            <w:rFonts w:ascii="Century Gothic" w:cs="Century Gothic" w:eastAsia="Century Gothic" w:hAnsi="Century Gothic"/>
            <w:color w:val="1155cc"/>
            <w:u w:val="single"/>
            <w:rtl w:val="0"/>
          </w:rPr>
          <w:t xml:space="preserve">here.</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7">
      <w:pPr>
        <w:numPr>
          <w:ilvl w:val="0"/>
          <w:numId w:val="1"/>
        </w:numPr>
        <w:spacing w:after="0" w:afterAutospacing="0" w:before="0" w:beforeAutospacing="0"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case of grievances relating to allegations of sex-based harassment, please see the school’s Sex-Based Harassment Investigation Procedures Policy available </w:t>
      </w:r>
      <w:hyperlink r:id="rId7">
        <w:r w:rsidDel="00000000" w:rsidR="00000000" w:rsidRPr="00000000">
          <w:rPr>
            <w:rFonts w:ascii="Century Gothic" w:cs="Century Gothic" w:eastAsia="Century Gothic" w:hAnsi="Century Gothic"/>
            <w:color w:val="1155cc"/>
            <w:u w:val="single"/>
            <w:rtl w:val="0"/>
          </w:rPr>
          <w:t xml:space="preserve">here</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8">
      <w:pPr>
        <w:numPr>
          <w:ilvl w:val="0"/>
          <w:numId w:val="5"/>
        </w:numPr>
        <w:spacing w:after="0" w:afterAutospacing="0" w:before="0" w:beforeAutospacing="0" w:line="240" w:lineRule="auto"/>
        <w:ind w:left="720" w:hanging="360"/>
        <w:rPr/>
      </w:pPr>
      <w:r w:rsidDel="00000000" w:rsidR="00000000" w:rsidRPr="00000000">
        <w:rPr>
          <w:rFonts w:ascii="Century Gothic" w:cs="Century Gothic" w:eastAsia="Century Gothic" w:hAnsi="Century Gothic"/>
          <w:b w:val="1"/>
          <w:rtl w:val="0"/>
        </w:rPr>
        <w:t xml:space="preserve">Address Issue with School Leader.</w:t>
      </w:r>
      <w:r w:rsidDel="00000000" w:rsidR="00000000" w:rsidRPr="00000000">
        <w:rPr>
          <w:rFonts w:ascii="Century Gothic" w:cs="Century Gothic" w:eastAsia="Century Gothic" w:hAnsi="Century Gothic"/>
          <w:rtl w:val="0"/>
        </w:rPr>
        <w:t xml:space="preserve">  If a satisfactory resolution is not reached at the lowest possible level, or where the complaint directly involves the School Leader, the concern may then be brought to the attention of the School Leader.  The School Leader will schedule a phone call or an in-person meeting within 48 hours of receiving the complaint (where possible) in order to address the situation, facilitate ongoing communication, and develop goals for conflict resolution.  The School Leader will continue to monitor the issue until either a resolution or an impasse is reached.  </w:t>
        <w:tab/>
      </w:r>
    </w:p>
    <w:p w:rsidR="00000000" w:rsidDel="00000000" w:rsidP="00000000" w:rsidRDefault="00000000" w:rsidRPr="00000000" w14:paraId="00000009">
      <w:pPr>
        <w:numPr>
          <w:ilvl w:val="0"/>
          <w:numId w:val="5"/>
        </w:numPr>
        <w:spacing w:after="340" w:before="0" w:beforeAutospacing="0" w:line="240" w:lineRule="auto"/>
        <w:ind w:left="720" w:hanging="360"/>
        <w:rPr/>
      </w:pPr>
      <w:r w:rsidDel="00000000" w:rsidR="00000000" w:rsidRPr="00000000">
        <w:rPr>
          <w:rFonts w:ascii="Century Gothic" w:cs="Century Gothic" w:eastAsia="Century Gothic" w:hAnsi="Century Gothic"/>
          <w:b w:val="1"/>
          <w:rtl w:val="0"/>
        </w:rPr>
        <w:t xml:space="preserve">Prepare a Written Grievance for the Board of Directors.</w:t>
      </w:r>
      <w:r w:rsidDel="00000000" w:rsidR="00000000" w:rsidRPr="00000000">
        <w:rPr>
          <w:rFonts w:ascii="Century Gothic" w:cs="Century Gothic" w:eastAsia="Century Gothic" w:hAnsi="Century Gothic"/>
          <w:rtl w:val="0"/>
        </w:rPr>
        <w:t xml:space="preserve">  In cases when the concern has not been addressed at Steps 1 and 2 to the satisfaction of the grievant, the grievant may file a formal written grievance to the School’s Board of Directors.  The written grievance must detail (i) the date of the incident (if applicable); (ii) the School staff member involved; (iii) a description of the incident, decision, or practice that gave rise to the issue; (iv) the conflict resolution strategies that have been attempted thus far; and (v) the grievant’s requested resolution.  </w:t>
      </w:r>
    </w:p>
    <w:p w:rsidR="00000000" w:rsidDel="00000000" w:rsidP="00000000" w:rsidRDefault="00000000" w:rsidRPr="00000000" w14:paraId="0000000A">
      <w:pPr>
        <w:spacing w:after="100" w:before="100" w:line="24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Current contact information for the Board can be found </w:t>
      </w:r>
      <w:hyperlink r:id="rId8">
        <w:r w:rsidDel="00000000" w:rsidR="00000000" w:rsidRPr="00000000">
          <w:rPr>
            <w:rFonts w:ascii="Century Gothic" w:cs="Century Gothic" w:eastAsia="Century Gothic" w:hAnsi="Century Gothic"/>
            <w:color w:val="1155cc"/>
            <w:u w:val="single"/>
            <w:rtl w:val="0"/>
          </w:rPr>
          <w:t xml:space="preserve">here</w:t>
        </w:r>
      </w:hyperlink>
      <w:r w:rsidDel="00000000" w:rsidR="00000000" w:rsidRPr="00000000">
        <w:rPr>
          <w:rFonts w:ascii="Century Gothic" w:cs="Century Gothic" w:eastAsia="Century Gothic" w:hAnsi="Century Gothic"/>
          <w:rtl w:val="0"/>
        </w:rPr>
        <w:t xml:space="preserve"> (highpointacademy.net/board)</w:t>
      </w:r>
      <w:r w:rsidDel="00000000" w:rsidR="00000000" w:rsidRPr="00000000">
        <w:rPr>
          <w:rFonts w:ascii="Century Gothic" w:cs="Century Gothic" w:eastAsia="Century Gothic" w:hAnsi="Century Gothic"/>
          <w:rtl w:val="0"/>
        </w:rPr>
        <w:t xml:space="preserve">.  Within 10 days from receipt, the Board Chair, or his/her designee, will review the written grievance and provide a written response to the grievant either determining that the grievance warrants full review by the Board or declining to review the written grievance.  If the Board Chair, or his/her designee, determines that the grievance warrants full review by the Board, the Board shall review the grievance at its next regularly-scheduled Board Meeting and issue a written decision to the grievant within 10 days of the meeting.  If declining review, the School Board’s written response to the grievant will explain the reasons for the determination.</w:t>
      </w:r>
    </w:p>
    <w:p w:rsidR="00000000" w:rsidDel="00000000" w:rsidP="00000000" w:rsidRDefault="00000000" w:rsidRPr="00000000" w14:paraId="0000000B">
      <w:pPr>
        <w:spacing w:after="100" w:before="100" w:line="24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While any member of the public is always welcome to speak in an open board meeting, no grievance issue will be addressed by the Board without the grievant having first followed these proper procedures. Issues of employee or student privacy may be addressed in Executive Session, as is legally proper.  </w:t>
      </w:r>
    </w:p>
    <w:p w:rsidR="00000000" w:rsidDel="00000000" w:rsidP="00000000" w:rsidRDefault="00000000" w:rsidRPr="00000000" w14:paraId="0000000C">
      <w:pPr>
        <w:numPr>
          <w:ilvl w:val="0"/>
          <w:numId w:val="3"/>
        </w:numPr>
        <w:spacing w:after="340" w:before="340" w:line="240" w:lineRule="auto"/>
        <w:ind w:left="720" w:hanging="360"/>
        <w:rPr/>
      </w:pPr>
      <w:r w:rsidDel="00000000" w:rsidR="00000000" w:rsidRPr="00000000">
        <w:rPr>
          <w:rFonts w:ascii="Century Gothic" w:cs="Century Gothic" w:eastAsia="Century Gothic" w:hAnsi="Century Gothic"/>
          <w:b w:val="1"/>
          <w:rtl w:val="0"/>
        </w:rPr>
        <w:t xml:space="preserve">Submit a Written Grievance to the Colorado Charter School Institute (“the Institute”) Executive Director.</w:t>
      </w:r>
      <w:r w:rsidDel="00000000" w:rsidR="00000000" w:rsidRPr="00000000">
        <w:rPr>
          <w:rFonts w:ascii="Century Gothic" w:cs="Century Gothic" w:eastAsia="Century Gothic" w:hAnsi="Century Gothic"/>
          <w:rtl w:val="0"/>
        </w:rPr>
        <w:t xml:space="preserve">  If the grievant is not satisfied with the School Board’s determination not to review the written grievance or the written resolution reached by the Board after reviewing the grievance, the grievant may submit its concerns in written format to the Institute within five business days from receiving the written decision of the Board.  After review, the Institute’s Executive Director will publish his/her conclusions in writing within 15 calendar days from receipt of the written concern. The decision of the School’s Board will not be overturned unless there are compelling grounds that the School violated an applicable law, regulation, policy, or contract provision.  The Institute can be contacted at (303) 866-3299 or csi_info@csi.state.co.us.  </w:t>
      </w:r>
    </w:p>
    <w:p w:rsidR="00000000" w:rsidDel="00000000" w:rsidP="00000000" w:rsidRDefault="00000000" w:rsidRPr="00000000" w14:paraId="0000000D">
      <w:pPr>
        <w:spacing w:after="100" w:before="100" w:line="240" w:lineRule="auto"/>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ADDITIONAL CONSIDERATIONS:</w:t>
      </w:r>
    </w:p>
    <w:p w:rsidR="00000000" w:rsidDel="00000000" w:rsidP="00000000" w:rsidRDefault="00000000" w:rsidRPr="00000000" w14:paraId="0000000E">
      <w:pPr>
        <w:numPr>
          <w:ilvl w:val="0"/>
          <w:numId w:val="4"/>
        </w:numPr>
        <w:spacing w:after="0" w:afterAutospacing="0" w:before="340"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The entire grievance process should account for language barriers and provide equal opportunity for non-native English-speaking individuals to file grievances.</w:t>
      </w:r>
    </w:p>
    <w:p w:rsidR="00000000" w:rsidDel="00000000" w:rsidP="00000000" w:rsidRDefault="00000000" w:rsidRPr="00000000" w14:paraId="0000000F">
      <w:pPr>
        <w:numPr>
          <w:ilvl w:val="0"/>
          <w:numId w:val="4"/>
        </w:numPr>
        <w:spacing w:after="340" w:before="0" w:beforeAutospacing="0"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Consider adopting a “Communication Expectation Policy” which outlines the expectations for school staff and grievances in discussing conflicts in a healthy, productive, and respectful manner.  </w:t>
      </w:r>
    </w:p>
    <w:p w:rsidR="00000000" w:rsidDel="00000000" w:rsidP="00000000" w:rsidRDefault="00000000" w:rsidRPr="00000000" w14:paraId="00000010">
      <w:pPr>
        <w:spacing w:after="100" w:before="10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To be </w:t>
      </w:r>
      <w:r w:rsidDel="00000000" w:rsidR="00000000" w:rsidRPr="00000000">
        <w:rPr>
          <w:rFonts w:ascii="Century Gothic" w:cs="Century Gothic" w:eastAsia="Century Gothic" w:hAnsi="Century Gothic"/>
          <w:b w:val="1"/>
          <w:rtl w:val="0"/>
        </w:rPr>
        <w:t xml:space="preserve">Adopted:  November, 2024</w:t>
      </w:r>
    </w:p>
    <w:p w:rsidR="00000000" w:rsidDel="00000000" w:rsidP="00000000" w:rsidRDefault="00000000" w:rsidRPr="00000000" w14:paraId="00000011">
      <w:pPr>
        <w:spacing w:line="240" w:lineRule="auto"/>
        <w:rPr>
          <w:rFonts w:ascii="Century Gothic" w:cs="Century Gothic" w:eastAsia="Century Gothic" w:hAnsi="Century Gothic"/>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drawing>
        <wp:inline distB="114300" distT="114300" distL="114300" distR="114300">
          <wp:extent cx="442913" cy="47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2913" cy="479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JBUg_yBfXYUBzErrRhACtTGwa-q3UuCGL7V6ETEQBto/edit?tab=t.0" TargetMode="External"/><Relationship Id="rId7" Type="http://schemas.openxmlformats.org/officeDocument/2006/relationships/hyperlink" Target="https://docs.google.com/document/d/1CdrrGQEKL1mgvDbJ4fQ9r7J8oQ2imf9So3q004suwMo/edit?tab=t.0" TargetMode="External"/><Relationship Id="rId8" Type="http://schemas.openxmlformats.org/officeDocument/2006/relationships/hyperlink" Target="https://www.highpointacademy.net/governing-boa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